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 w:firstLineChars="200"/>
        <w:jc w:val="center"/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  <w:t>浙江水利水电学院博士人才招聘会</w:t>
      </w:r>
    </w:p>
    <w:p>
      <w:pPr>
        <w:spacing w:line="240" w:lineRule="auto"/>
        <w:ind w:firstLine="720" w:firstLineChars="200"/>
        <w:jc w:val="center"/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  <w:t>四川大学专场</w:t>
      </w:r>
    </w:p>
    <w:p>
      <w:pPr>
        <w:keepNext w:val="0"/>
        <w:keepLines w:val="0"/>
        <w:widowControl/>
        <w:suppressLineNumbers w:val="0"/>
        <w:spacing w:line="240" w:lineRule="auto"/>
        <w:ind w:firstLine="361" w:firstLineChars="200"/>
        <w:jc w:val="left"/>
        <w:rPr>
          <w:rFonts w:hint="eastAsia" w:ascii="宋体" w:hAnsi="宋体" w:eastAsia="宋体" w:cs="宋体"/>
          <w:b/>
          <w:bCs/>
          <w:color w:val="231916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31916"/>
          <w:kern w:val="0"/>
          <w:sz w:val="18"/>
          <w:szCs w:val="18"/>
          <w:lang w:val="en-US" w:eastAsia="zh-CN" w:bidi="ar"/>
        </w:rPr>
        <w:t>【学校概况】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 xml:space="preserve">浙江水利水电学院位于中国历史文化名城、风景游览胜地--浙江省杭州市，前身可追溯到1953年成立的杭州水力发电学校和1956年的杭州水利学校、1958年的浙江电力专科学校、1975年的浙江水利电力学校（1978年9月更名为浙江水利水电学校)、1984年的浙江水利水电专科学校，2013年升格为浙江水利水电学院，目前是全省唯一一所水利类本科院校，是水利部和浙江省人民政府共建高校、浙江省高校应用型建设试点示范本科院校，是全国文明单位、国家水情教育基地。 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 xml:space="preserve">学校现有全国模范教师1人，全国水利职教名师8人，浙江省"五个一批"人才1人，省教学名师4人，省"151人才工程"人选18人，浙江省优秀教师3人，省教坛新秀5人，省高校中青年学科带头人和专业带头人16人，省高校领军人才培养计划9人，拥有省五一劳动奖章获得者、国务院特殊津贴获得者和省高校高水平创新团队。形成了一支数量适当、结构合理、素质良好，并具有较高教学水平和一定科研能力的师资队伍。 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>学校突出应用型，以工学门类为主体，以水利水电为特色，多学科协调发展的学科专业体系。现设11个二级学院，2个教学部和2个研究机构，开设工学、理学、管理学、经济学和文学等5大学科门类的本专科专业37个，其中本科专业31个。拥有国家级一流本科专业建设点1个，省级一流本科专业建设点达到11个，浙江省重点实验项目等省部级科研平台4个，获批中外合作办学项目1项，浙江省优势专业建设项目1个、浙江省特色专业7个。建有省部级实验教学示范中心3个，以第一完成单位获得国家级教学成果二等奖1项、浙江省教学成果一等奖5项、二等奖9项。</w:t>
      </w:r>
    </w:p>
    <w:p>
      <w:pPr>
        <w:spacing w:line="240" w:lineRule="auto"/>
        <w:ind w:firstLine="361" w:firstLineChars="2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【招聘专业及方向】</w:t>
      </w:r>
    </w:p>
    <w:p>
      <w:p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机械工程、电气工程、水利工程、土木工程、信息工程、农业工程、软件工程、材料科学与工程、车辆工程、信息与通信工程、计算机科学与技术、测绘科学与技术等相关专业。</w:t>
      </w:r>
    </w:p>
    <w:p>
      <w:pPr>
        <w:spacing w:line="240" w:lineRule="auto"/>
        <w:ind w:firstLine="361" w:firstLineChars="200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【招聘时间地点】</w:t>
      </w:r>
    </w:p>
    <w:p>
      <w:pPr>
        <w:spacing w:line="240" w:lineRule="auto"/>
        <w:ind w:firstLine="360" w:firstLineChars="20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招聘时间：4月4日 15:00-16:30</w:t>
      </w:r>
    </w:p>
    <w:p>
      <w:pPr>
        <w:spacing w:line="240" w:lineRule="auto"/>
        <w:ind w:firstLine="360" w:firstLineChars="2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招聘地点：四川大学望江校区（具体地点待定）</w:t>
      </w:r>
    </w:p>
    <w:p>
      <w:pPr>
        <w:keepNext w:val="0"/>
        <w:keepLines w:val="0"/>
        <w:widowControl/>
        <w:suppressLineNumbers w:val="0"/>
        <w:spacing w:line="240" w:lineRule="auto"/>
        <w:ind w:firstLine="361" w:firstLineChars="200"/>
        <w:jc w:val="left"/>
        <w:rPr>
          <w:rFonts w:hint="eastAsia" w:ascii="宋体" w:hAnsi="宋体" w:eastAsia="宋体" w:cs="宋体"/>
          <w:b/>
          <w:bCs/>
          <w:color w:val="231916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31916"/>
          <w:kern w:val="0"/>
          <w:sz w:val="18"/>
          <w:szCs w:val="18"/>
          <w:lang w:val="en-US" w:eastAsia="zh-CN" w:bidi="ar"/>
        </w:rPr>
        <w:t>【引进待遇】</w:t>
      </w:r>
    </w:p>
    <w:tbl>
      <w:tblPr>
        <w:tblStyle w:val="4"/>
        <w:tblpPr w:leftFromText="180" w:rightFromText="180" w:vertAnchor="text" w:horzAnchor="page" w:tblpX="1837" w:tblpY="52"/>
        <w:tblOverlap w:val="never"/>
        <w:tblW w:w="86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536"/>
        <w:gridCol w:w="2184"/>
        <w:gridCol w:w="920"/>
        <w:gridCol w:w="646"/>
        <w:gridCol w:w="592"/>
        <w:gridCol w:w="25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人才层次</w:t>
            </w:r>
          </w:p>
        </w:tc>
        <w:tc>
          <w:tcPr>
            <w:tcW w:w="536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2184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住房安置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综合补贴</w:t>
            </w:r>
          </w:p>
        </w:tc>
        <w:tc>
          <w:tcPr>
            <w:tcW w:w="1238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科研启动经费</w:t>
            </w:r>
          </w:p>
        </w:tc>
        <w:tc>
          <w:tcPr>
            <w:tcW w:w="2592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36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184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人文类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理工类</w:t>
            </w:r>
          </w:p>
        </w:tc>
        <w:tc>
          <w:tcPr>
            <w:tcW w:w="2592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学科领军人才</w:t>
            </w: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A1类</w:t>
            </w:r>
          </w:p>
        </w:tc>
        <w:tc>
          <w:tcPr>
            <w:tcW w:w="6934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一人一议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A2类</w:t>
            </w:r>
          </w:p>
        </w:tc>
        <w:tc>
          <w:tcPr>
            <w:tcW w:w="6934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一人一议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学科带头人</w:t>
            </w: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B类</w:t>
            </w:r>
          </w:p>
        </w:tc>
        <w:tc>
          <w:tcPr>
            <w:tcW w:w="2184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1、钱塘校区周转房(2年内)或租房补 贴(不超过2月)；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2、提供南浔校100-280平方的限价商品房房源1套。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200-300万</w:t>
            </w: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60万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120万</w:t>
            </w:r>
          </w:p>
        </w:tc>
        <w:tc>
          <w:tcPr>
            <w:tcW w:w="2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结构工资制或年薪制≧50万/年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学术带头人</w:t>
            </w: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C1类</w:t>
            </w:r>
          </w:p>
        </w:tc>
        <w:tc>
          <w:tcPr>
            <w:tcW w:w="218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120万</w:t>
            </w: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25万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50万</w:t>
            </w:r>
          </w:p>
        </w:tc>
        <w:tc>
          <w:tcPr>
            <w:tcW w:w="2592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结构工资制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C2类</w:t>
            </w:r>
          </w:p>
        </w:tc>
        <w:tc>
          <w:tcPr>
            <w:tcW w:w="218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90万</w:t>
            </w: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15万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30万</w:t>
            </w:r>
          </w:p>
        </w:tc>
        <w:tc>
          <w:tcPr>
            <w:tcW w:w="259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C3类</w:t>
            </w:r>
          </w:p>
        </w:tc>
        <w:tc>
          <w:tcPr>
            <w:tcW w:w="218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60万</w:t>
            </w: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10万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20万</w:t>
            </w:r>
          </w:p>
        </w:tc>
        <w:tc>
          <w:tcPr>
            <w:tcW w:w="259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骨干教师</w:t>
            </w: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D1类</w:t>
            </w:r>
          </w:p>
        </w:tc>
        <w:tc>
          <w:tcPr>
            <w:tcW w:w="218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60万</w:t>
            </w: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7万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15万</w:t>
            </w:r>
          </w:p>
        </w:tc>
        <w:tc>
          <w:tcPr>
            <w:tcW w:w="259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D2类</w:t>
            </w:r>
          </w:p>
        </w:tc>
        <w:tc>
          <w:tcPr>
            <w:tcW w:w="218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40万</w:t>
            </w: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5万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10万</w:t>
            </w:r>
          </w:p>
        </w:tc>
        <w:tc>
          <w:tcPr>
            <w:tcW w:w="259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D3类</w:t>
            </w:r>
          </w:p>
        </w:tc>
        <w:tc>
          <w:tcPr>
            <w:tcW w:w="2184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20万</w:t>
            </w:r>
          </w:p>
        </w:tc>
        <w:tc>
          <w:tcPr>
            <w:tcW w:w="64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2万</w:t>
            </w:r>
          </w:p>
        </w:tc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5万</w:t>
            </w:r>
          </w:p>
        </w:tc>
        <w:tc>
          <w:tcPr>
            <w:tcW w:w="2592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firstLine="361" w:firstLineChars="2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【优势亮点】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 入选即入编，事业编制;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 落户杭州市;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3.享受福利价购房一套(4000元/平米)，商品房;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4.高额引进费，首付70%，第二年中期考核后85%，期满考核(D1/D2类①.年均320左右教学工作量等;②.省部级项目1项+核心期刊论文3篇(其中SCI、EI、CSSCI1篇)通过即付清全款。如取得国基金1项，追加20万。)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 w:ascii="Alibaba-PuHuiTi-R" w:hAnsi="Alibaba-PuHuiTi-R" w:eastAsia="Alibaba-PuHuiTi-R" w:cs="Alibaba-PuHuiTi-R"/>
          <w:b/>
          <w:bCs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/>
          <w:sz w:val="18"/>
          <w:szCs w:val="18"/>
          <w:lang w:val="en-US" w:eastAsia="zh-CN"/>
        </w:rPr>
        <w:t>5.引进后，校内可申请年薪制待遇(25万年薪起)。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 w:ascii="Alibaba-PuHuiTi-R" w:hAnsi="Alibaba-PuHuiTi-R" w:eastAsia="Alibaba-PuHuiTi-R" w:cs="Alibaba-PuHuiTi-R"/>
          <w:b/>
          <w:bCs/>
          <w:color w:val="000000"/>
          <w:kern w:val="0"/>
          <w:sz w:val="18"/>
          <w:szCs w:val="18"/>
          <w:lang w:val="en-US" w:eastAsia="zh-CN" w:bidi="ar"/>
        </w:rPr>
        <w:t>【</w:t>
      </w:r>
      <w:r>
        <w:rPr>
          <w:rFonts w:hint="eastAsia"/>
          <w:b/>
          <w:bCs/>
          <w:sz w:val="18"/>
          <w:szCs w:val="18"/>
          <w:lang w:val="en-US" w:eastAsia="zh-CN"/>
        </w:rPr>
        <w:t>住房安置子女就学</w:t>
      </w:r>
      <w:r>
        <w:rPr>
          <w:rFonts w:hint="eastAsia" w:ascii="Alibaba-PuHuiTi-R" w:hAnsi="Alibaba-PuHuiTi-R" w:eastAsia="Alibaba-PuHuiTi-R" w:cs="Alibaba-PuHuiTi-R"/>
          <w:b/>
          <w:bCs/>
          <w:color w:val="000000"/>
          <w:kern w:val="0"/>
          <w:sz w:val="18"/>
          <w:szCs w:val="18"/>
          <w:lang w:val="en-US" w:eastAsia="zh-CN" w:bidi="ar"/>
        </w:rPr>
        <w:t>】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1.可享受钱塘校区周转房或租房补贴2年。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2提供南浔校区100-280平方的限价商品房房源1套。4000元/平方，且赠送一个车位。已于22年动工，23年达到预售条件，预计24年可入住。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3.子女上学协调:南浔区均可择校，初高中可读镇海中学南浔分校;钱塘区幼儿园可择校，小学初中力保学正小学，争取文海小学。</w:t>
      </w:r>
    </w:p>
    <w:p>
      <w:pPr>
        <w:numPr>
          <w:ilvl w:val="0"/>
          <w:numId w:val="0"/>
        </w:numPr>
        <w:spacing w:line="240" w:lineRule="auto"/>
        <w:ind w:firstLine="361" w:firstLineChars="2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【异地工作补贴】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1.专任教师除正常课时费外，补助标准:正高职称每课时补助180元，副高职称、博士每课时补助150元，中级职称每课时补助120元，初级职称每课时补助80元。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2.行政人员正高职称、三四级职员每天补助300元，副高职称、博士、五六级职员每天补助240元，中级职称七级职员每天补助180元。</w:t>
      </w:r>
    </w:p>
    <w:p>
      <w:pPr>
        <w:numPr>
          <w:ilvl w:val="0"/>
          <w:numId w:val="0"/>
        </w:numPr>
        <w:spacing w:line="240" w:lineRule="auto"/>
        <w:ind w:firstLine="361" w:firstLineChars="2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【学者待遇】</w:t>
      </w:r>
    </w:p>
    <w:p>
      <w:pPr>
        <w:numPr>
          <w:ilvl w:val="0"/>
          <w:numId w:val="0"/>
        </w:num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入选条件:发表SCI论文(中科院，四区)2篇及以上或具有相当的业绩条件学者25万元/年(南浔区给予额外补贴) 。</w:t>
      </w:r>
    </w:p>
    <w:p>
      <w:pPr>
        <w:keepNext w:val="0"/>
        <w:keepLines w:val="0"/>
        <w:widowControl/>
        <w:suppressLineNumbers w:val="0"/>
        <w:spacing w:line="240" w:lineRule="auto"/>
        <w:ind w:firstLine="361" w:firstLineChars="200"/>
        <w:jc w:val="left"/>
        <w:rPr>
          <w:rFonts w:hint="eastAsia" w:ascii="宋体" w:hAnsi="宋体" w:eastAsia="宋体" w:cs="宋体"/>
          <w:b/>
          <w:bCs/>
          <w:color w:val="231916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31916"/>
          <w:kern w:val="0"/>
          <w:sz w:val="18"/>
          <w:szCs w:val="18"/>
          <w:lang w:val="en-US" w:eastAsia="zh-CN" w:bidi="ar"/>
        </w:rPr>
        <w:t>【其他引进待遇】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 xml:space="preserve">1.落户杭州，并享受100平米以上南浔限价商品房房源1套。 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</w:pPr>
      <w:r>
        <w:rPr>
          <w:rFonts w:hint="default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 xml:space="preserve">扶持学科（招聘紧缺专业）的D1、D2类人才，综合补贴可上浮8万； 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</w:pPr>
      <w:r>
        <w:rPr>
          <w:rFonts w:hint="default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>D1和D2类人才聘期期满考核优秀，追加发放综合补贴20万元</w:t>
      </w:r>
      <w:r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  <w:t>。</w:t>
      </w:r>
    </w:p>
    <w:bookmarkEnd w:id="0"/>
    <w:p>
      <w:pPr>
        <w:spacing w:line="240" w:lineRule="auto"/>
        <w:ind w:firstLine="361" w:firstLineChars="2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【科研政策】</w:t>
      </w:r>
    </w:p>
    <w:p>
      <w:pPr>
        <w:spacing w:line="240" w:lineRule="auto"/>
        <w:ind w:firstLine="360" w:firstLineChars="200"/>
        <w:rPr>
          <w:rFonts w:hint="default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</w:pPr>
      <w:r>
        <w:rPr>
          <w:rFonts w:hint="eastAsia"/>
          <w:sz w:val="18"/>
          <w:szCs w:val="18"/>
          <w:lang w:val="en-US" w:eastAsia="zh-CN"/>
        </w:rPr>
        <w:t>学校支持教师进行科学研究，对取得的科研项目和科研成果给予相应的计酬业绩分， 同时对高层次项目和成果通过奖励和经费配套的方式进行鼓励。</w:t>
      </w:r>
    </w:p>
    <w:p>
      <w:pPr>
        <w:spacing w:line="240" w:lineRule="auto"/>
        <w:ind w:firstLine="361" w:firstLineChars="2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【应聘方式】</w:t>
      </w:r>
    </w:p>
    <w:p>
      <w:p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联系人：李老师</w:t>
      </w:r>
    </w:p>
    <w:p>
      <w:pPr>
        <w:spacing w:line="240" w:lineRule="auto"/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联系电话：18571827921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微信：A18571827921</w:t>
      </w:r>
    </w:p>
    <w:p>
      <w:pPr>
        <w:keepNext w:val="0"/>
        <w:keepLines w:val="0"/>
        <w:widowControl/>
        <w:suppressLineNumbers w:val="0"/>
        <w:spacing w:line="240" w:lineRule="auto"/>
        <w:ind w:firstLine="360" w:firstLineChars="200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微信群：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</w:pPr>
      <w:r>
        <w:drawing>
          <wp:inline distT="0" distB="0" distL="114300" distR="114300">
            <wp:extent cx="1219200" cy="131381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200"/>
        <w:jc w:val="both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详情请进群咨询~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color w:val="231916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ibaba-PuHuiTi-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GNlYWM2NDk1N2EyZmIyMjMxNWRkMTEzMGEwNzcifQ=="/>
  </w:docVars>
  <w:rsids>
    <w:rsidRoot w:val="294C5301"/>
    <w:rsid w:val="00EF4BE8"/>
    <w:rsid w:val="092510B2"/>
    <w:rsid w:val="11CD4DFC"/>
    <w:rsid w:val="138733D3"/>
    <w:rsid w:val="19312002"/>
    <w:rsid w:val="294C5301"/>
    <w:rsid w:val="47C06D12"/>
    <w:rsid w:val="4E5B33C1"/>
    <w:rsid w:val="701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1497</Characters>
  <Lines>0</Lines>
  <Paragraphs>0</Paragraphs>
  <TotalTime>2</TotalTime>
  <ScaleCrop>false</ScaleCrop>
  <LinksUpToDate>false</LinksUpToDate>
  <CharactersWithSpaces>1507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2023-03-29T07:48:00Z</dcterms:created>
  <dc:creator>杂货铺老板娘</dc:creator>
  <cp:lastModifiedBy>杂货铺老板娘</cp:lastModifiedBy>
  <dcterms:modified xsi:type="dcterms:W3CDTF">2023-03-30T02:46:41Z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2BA891446C8C4C66B4CCF3BB4D7AC95D</vt:lpwstr>
  </property>
</Properties>
</file>